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73EAB" w14:textId="4564F9FB"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 xml:space="preserve">4 </w:t>
      </w:r>
      <w:r w:rsidR="00FC72A0">
        <w:rPr>
          <w:rFonts w:ascii="Arial" w:hAnsi="Arial" w:cs="Arial"/>
          <w:b/>
          <w:noProof/>
          <w:sz w:val="24"/>
          <w:lang w:val="de-DE"/>
        </w:rPr>
        <w:t>88</w:t>
      </w:r>
      <w:r w:rsidR="001E7C0B">
        <w:rPr>
          <w:rFonts w:ascii="Arial" w:hAnsi="Arial" w:cs="Arial"/>
          <w:b/>
          <w:noProof/>
          <w:sz w:val="24"/>
          <w:lang w:val="de-DE"/>
        </w:rPr>
        <w:t>bis</w:t>
      </w:r>
      <w:r w:rsidR="00625CA5">
        <w:rPr>
          <w:rFonts w:ascii="Arial" w:hAnsi="Arial" w:cs="Arial"/>
          <w:b/>
          <w:noProof/>
          <w:sz w:val="24"/>
          <w:lang w:val="de-DE"/>
        </w:rPr>
        <w:tab/>
      </w:r>
      <w:r w:rsidR="002634B5" w:rsidRPr="002634B5">
        <w:rPr>
          <w:rFonts w:ascii="Arial" w:hAnsi="Arial" w:cs="Arial"/>
          <w:b/>
          <w:noProof/>
          <w:sz w:val="24"/>
          <w:lang w:val="de-DE"/>
        </w:rPr>
        <w:t>R4-1813284</w:t>
      </w:r>
      <w:bookmarkStart w:id="0" w:name="_GoBack"/>
      <w:bookmarkEnd w:id="0"/>
    </w:p>
    <w:p w14:paraId="712C1B75" w14:textId="1E7D702D" w:rsidR="00936AFB" w:rsidRPr="00BC0258" w:rsidRDefault="001E7C0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Chengdu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>,</w:t>
      </w:r>
      <w:r w:rsidR="00B3710E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China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8</w:t>
      </w:r>
      <w:r w:rsidRPr="001E7C0B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sz w:val="24"/>
          <w:lang w:eastAsia="ja-JP"/>
        </w:rPr>
        <w:t xml:space="preserve"> – 12</w:t>
      </w:r>
      <w:r w:rsidR="009032D8" w:rsidRPr="009032D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9032D8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October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B3710E">
        <w:rPr>
          <w:rFonts w:ascii="Arial" w:hAnsi="Arial" w:cs="Arial"/>
          <w:b/>
          <w:noProof/>
          <w:sz w:val="24"/>
          <w:lang w:eastAsia="ja-JP"/>
        </w:rPr>
        <w:t xml:space="preserve"> 2018</w:t>
      </w:r>
    </w:p>
    <w:p w14:paraId="44264294" w14:textId="77777777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14:paraId="0AD4F0F9" w14:textId="77777777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14:paraId="262D45B1" w14:textId="01537AF8"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9D13C7">
        <w:rPr>
          <w:rFonts w:ascii="Arial" w:hAnsi="Arial" w:cs="Arial"/>
          <w:sz w:val="24"/>
          <w:lang w:eastAsia="zh-CN"/>
        </w:rPr>
        <w:t>Intra-band EN-DC power sharing</w:t>
      </w:r>
    </w:p>
    <w:p w14:paraId="31D76AD9" w14:textId="0A45242A"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1E7C0B">
        <w:rPr>
          <w:rFonts w:ascii="Arial" w:hAnsi="Arial" w:cs="Arial"/>
          <w:sz w:val="24"/>
          <w:lang w:eastAsia="zh-CN"/>
        </w:rPr>
        <w:t>7.6.</w:t>
      </w:r>
      <w:r w:rsidR="00AC6C3C">
        <w:rPr>
          <w:rFonts w:ascii="Arial" w:hAnsi="Arial" w:cs="Arial"/>
          <w:sz w:val="24"/>
          <w:lang w:eastAsia="zh-CN"/>
        </w:rPr>
        <w:t>4.3</w:t>
      </w:r>
    </w:p>
    <w:p w14:paraId="302ACE9D" w14:textId="4849DF7D"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9D13C7">
        <w:rPr>
          <w:rFonts w:ascii="Arial" w:hAnsi="Arial" w:cs="Arial"/>
          <w:sz w:val="24"/>
          <w:lang w:eastAsia="ja-JP"/>
        </w:rPr>
        <w:t>Discussion</w:t>
      </w:r>
    </w:p>
    <w:p w14:paraId="75453752" w14:textId="77777777"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1</w:t>
      </w:r>
      <w:r w:rsidRPr="000B6B6E">
        <w:rPr>
          <w:rFonts w:ascii="Times New Roman" w:hAnsi="Times New Roman"/>
        </w:rPr>
        <w:tab/>
        <w:t>Introduction</w:t>
      </w:r>
    </w:p>
    <w:p w14:paraId="77FB86DA" w14:textId="237E374A" w:rsidR="0073255E" w:rsidRDefault="009D13C7" w:rsidP="0001306A">
      <w:r>
        <w:t>In RAN4#88</w:t>
      </w:r>
      <w:proofErr w:type="gramStart"/>
      <w:r>
        <w:t>,WF</w:t>
      </w:r>
      <w:proofErr w:type="gramEnd"/>
      <w:r>
        <w:t xml:space="preserve"> [1] was agreed </w:t>
      </w:r>
      <w:r w:rsidR="00CA3EF0">
        <w:t>for intra-band EN-DC power sharing.</w:t>
      </w:r>
      <w:r w:rsidR="00315E6D">
        <w:t xml:space="preserve"> </w:t>
      </w:r>
    </w:p>
    <w:p w14:paraId="08EE25CB" w14:textId="77777777" w:rsidR="00315E6D" w:rsidRDefault="00315E6D" w:rsidP="0001306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9"/>
      </w:tblGrid>
      <w:tr w:rsidR="00315E6D" w14:paraId="3AB93EA0" w14:textId="77777777" w:rsidTr="00315E6D">
        <w:tc>
          <w:tcPr>
            <w:tcW w:w="9639" w:type="dxa"/>
          </w:tcPr>
          <w:p w14:paraId="0DA39B59" w14:textId="588B5B34" w:rsidR="00315E6D" w:rsidRDefault="00315E6D" w:rsidP="0001306A">
            <w:r>
              <w:t>Proposal 1</w:t>
            </w:r>
          </w:p>
          <w:p w14:paraId="7536CABB" w14:textId="77777777" w:rsidR="00315E6D" w:rsidRDefault="00315E6D" w:rsidP="0001306A"/>
          <w:p w14:paraId="100D0E6D" w14:textId="77777777" w:rsidR="00315E6D" w:rsidRPr="00315E6D" w:rsidRDefault="00315E6D" w:rsidP="00315E6D">
            <w:r w:rsidRPr="00315E6D">
              <w:t>For intra-band EN-DC and type-1 UE, RAN4 decide one of the following options to move forward:</w:t>
            </w:r>
          </w:p>
          <w:p w14:paraId="5FEF363A" w14:textId="77777777" w:rsidR="00C63A44" w:rsidRPr="00315E6D" w:rsidRDefault="00CA3EF0" w:rsidP="00315E6D">
            <w:pPr>
              <w:numPr>
                <w:ilvl w:val="0"/>
                <w:numId w:val="3"/>
              </w:numPr>
            </w:pPr>
            <w:r w:rsidRPr="00315E6D">
              <w:t>Option 1: Keep present A-MPR power back-off design</w:t>
            </w:r>
          </w:p>
          <w:p w14:paraId="7700259C" w14:textId="77777777" w:rsidR="00C63A44" w:rsidRPr="00315E6D" w:rsidRDefault="00CA3EF0" w:rsidP="00315E6D">
            <w:pPr>
              <w:numPr>
                <w:ilvl w:val="1"/>
                <w:numId w:val="3"/>
              </w:numPr>
            </w:pPr>
            <w:r w:rsidRPr="00315E6D">
              <w:t>Accommodate RAN4 original assumption, LTE and NR modems know each other’s allocations, by, e.g., delayed NR network or faster UEs</w:t>
            </w:r>
          </w:p>
          <w:p w14:paraId="5BAFCA01" w14:textId="77777777" w:rsidR="00C63A44" w:rsidRPr="00315E6D" w:rsidRDefault="00CA3EF0" w:rsidP="00315E6D">
            <w:pPr>
              <w:numPr>
                <w:ilvl w:val="0"/>
                <w:numId w:val="3"/>
              </w:numPr>
            </w:pPr>
            <w:r w:rsidRPr="00315E6D">
              <w:t>Option 2: Change A-MPR power back-off design</w:t>
            </w:r>
          </w:p>
          <w:p w14:paraId="01E57DC8" w14:textId="77777777" w:rsidR="00C63A44" w:rsidRPr="00315E6D" w:rsidRDefault="00CA3EF0" w:rsidP="00315E6D">
            <w:pPr>
              <w:numPr>
                <w:ilvl w:val="0"/>
                <w:numId w:val="3"/>
              </w:numPr>
            </w:pPr>
            <w:r w:rsidRPr="00315E6D">
              <w:t>Option 3: Additional A-MPR power back-off design(s) with UE signaling to select and apply one</w:t>
            </w:r>
          </w:p>
          <w:p w14:paraId="5C1706F8" w14:textId="77777777" w:rsidR="00C63A44" w:rsidRPr="00315E6D" w:rsidRDefault="00CA3EF0" w:rsidP="00315E6D">
            <w:pPr>
              <w:numPr>
                <w:ilvl w:val="1"/>
                <w:numId w:val="3"/>
              </w:numPr>
            </w:pPr>
            <w:r w:rsidRPr="00315E6D">
              <w:t>New UE capability signaling of X bits to be agreed</w:t>
            </w:r>
          </w:p>
          <w:p w14:paraId="5D0C44D3" w14:textId="353A3C29" w:rsidR="00315E6D" w:rsidRDefault="00315E6D" w:rsidP="0001306A">
            <w:r w:rsidRPr="00315E6D">
              <w:t>Note: Other options are not precluded.</w:t>
            </w:r>
          </w:p>
        </w:tc>
      </w:tr>
    </w:tbl>
    <w:p w14:paraId="332C9B63" w14:textId="77777777" w:rsidR="00315E6D" w:rsidRDefault="00315E6D" w:rsidP="0001306A"/>
    <w:p w14:paraId="3C1BC86E" w14:textId="5CF54F77" w:rsidR="00CA3EF0" w:rsidRPr="00A54FD7" w:rsidRDefault="00CA3EF0" w:rsidP="0001306A">
      <w:r>
        <w:t>In this paper, we further clarify and narrow down the discussion scope.</w:t>
      </w:r>
    </w:p>
    <w:p w14:paraId="0FA83DB7" w14:textId="77777777" w:rsidR="007276ED" w:rsidRPr="007276ED" w:rsidRDefault="00F6372E" w:rsidP="007276ED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2</w:t>
      </w:r>
      <w:r w:rsidRPr="000B6B6E">
        <w:rPr>
          <w:rFonts w:ascii="Times New Roman" w:hAnsi="Times New Roman"/>
        </w:rPr>
        <w:tab/>
        <w:t>Discussion</w:t>
      </w:r>
    </w:p>
    <w:p w14:paraId="12729070" w14:textId="47D93989" w:rsidR="00625B52" w:rsidRDefault="00315E6D" w:rsidP="00BE2917">
      <w:r>
        <w:t>Currently, two intra-band EN-DC band combinations, DC</w:t>
      </w:r>
      <w:proofErr w:type="gramStart"/>
      <w:r>
        <w:t>_(</w:t>
      </w:r>
      <w:proofErr w:type="gramEnd"/>
      <w:r>
        <w:t>n)71B and DC_41_n41 have been introduced in RAN4. For DC</w:t>
      </w:r>
      <w:proofErr w:type="gramStart"/>
      <w:r>
        <w:t>_(</w:t>
      </w:r>
      <w:proofErr w:type="gramEnd"/>
      <w:r>
        <w:t>n)71B, the reference architecture with a single PA was agreed and two-PA reference architecture was agreed for DC_41_n41.</w:t>
      </w:r>
    </w:p>
    <w:p w14:paraId="56E01D21" w14:textId="55FF1EE6" w:rsidR="006E63BE" w:rsidRDefault="006E63BE" w:rsidP="00BE2917"/>
    <w:p w14:paraId="3751317A" w14:textId="32A10F97" w:rsidR="006E63BE" w:rsidRDefault="006E63BE" w:rsidP="00BE2917">
      <w:r>
        <w:t>In the WF, the proposal includes “type-1 UE” where UE can support dynamic power sharing. However, it is our understanding that the dynamic power sharing is nothing to do with RF front-end architecture but it is a capability of the baseband processor.</w:t>
      </w:r>
    </w:p>
    <w:p w14:paraId="459E5007" w14:textId="77777777" w:rsidR="00EF091C" w:rsidRDefault="00EF091C" w:rsidP="00BE2917"/>
    <w:p w14:paraId="6571031E" w14:textId="52C62657" w:rsidR="00EF091C" w:rsidRDefault="00EF091C" w:rsidP="00BE2917">
      <w:r w:rsidRPr="00EF091C">
        <w:rPr>
          <w:b/>
          <w:i/>
        </w:rPr>
        <w:t>Observation 1</w:t>
      </w:r>
      <w:r w:rsidRPr="00EF091C">
        <w:rPr>
          <w:i/>
        </w:rPr>
        <w:t>: D</w:t>
      </w:r>
      <w:r w:rsidRPr="00CA3EF0">
        <w:rPr>
          <w:i/>
        </w:rPr>
        <w:t>ynamic power sharing is a capability of the baseband processor and nothing to do with RF front-end architecture.</w:t>
      </w:r>
    </w:p>
    <w:p w14:paraId="4227E6FA" w14:textId="77777777" w:rsidR="006E63BE" w:rsidRDefault="006E63BE" w:rsidP="00BE2917"/>
    <w:p w14:paraId="0A129279" w14:textId="77777777" w:rsidR="00EF091C" w:rsidRDefault="00EF091C" w:rsidP="00BE2917"/>
    <w:p w14:paraId="73810A51" w14:textId="788B621C" w:rsidR="00315E6D" w:rsidRDefault="00315E6D" w:rsidP="00BE2917">
      <w:r>
        <w:t xml:space="preserve">In our view, </w:t>
      </w:r>
      <w:r w:rsidR="002E6B5F">
        <w:t>intra-band EN-DC power sharing with two-PA reference architecture would be the same as inter-band EN-DC power sharing case as LTE and NR have its own TX chains where we don’t consider its antenna combining me</w:t>
      </w:r>
      <w:r w:rsidR="00EF091C">
        <w:t xml:space="preserve">thod, and the UE </w:t>
      </w:r>
      <w:r w:rsidR="00684BDD">
        <w:t xml:space="preserve">could </w:t>
      </w:r>
      <w:r w:rsidR="00EF091C">
        <w:t>beh</w:t>
      </w:r>
      <w:r w:rsidR="00684BDD">
        <w:t>ave</w:t>
      </w:r>
      <w:r w:rsidR="00EF091C">
        <w:t xml:space="preserve"> like an inter-band EN-DC. </w:t>
      </w:r>
      <w:r w:rsidR="00202097">
        <w:t xml:space="preserve">If inter-band power sharing mechanism is reused for 2PA based intra-band </w:t>
      </w:r>
      <w:proofErr w:type="spellStart"/>
      <w:r w:rsidR="00202097">
        <w:t>EN</w:t>
      </w:r>
      <w:proofErr w:type="spellEnd"/>
      <w:r w:rsidR="00E55A34">
        <w:t>-</w:t>
      </w:r>
      <w:r w:rsidR="00202097">
        <w:t>DC, i</w:t>
      </w:r>
      <w:r w:rsidR="00EF091C">
        <w:t xml:space="preserve">t is </w:t>
      </w:r>
      <w:r w:rsidR="00202097">
        <w:t>expected that LTE</w:t>
      </w:r>
      <w:r w:rsidR="00E55A34">
        <w:t xml:space="preserve">/NR </w:t>
      </w:r>
      <w:r w:rsidR="00202097">
        <w:t>carrier</w:t>
      </w:r>
      <w:r w:rsidR="00E55A34">
        <w:t>s</w:t>
      </w:r>
      <w:r w:rsidR="00202097">
        <w:t xml:space="preserve"> should be</w:t>
      </w:r>
      <w:r w:rsidR="00EF091C">
        <w:t xml:space="preserve"> free from a phase discontinuity</w:t>
      </w:r>
      <w:r w:rsidR="00202097">
        <w:t xml:space="preserve"> issue</w:t>
      </w:r>
      <w:r w:rsidR="00EF091C">
        <w:t xml:space="preserve">. </w:t>
      </w:r>
      <w:r w:rsidR="00202097">
        <w:t>More specifically</w:t>
      </w:r>
      <w:r w:rsidR="00EF091C">
        <w:t>,</w:t>
      </w:r>
      <w:r w:rsidR="00202097">
        <w:t xml:space="preserve"> inter-band power sharing mechanism can be adopted for</w:t>
      </w:r>
      <w:r w:rsidR="00EF091C">
        <w:t xml:space="preserve"> </w:t>
      </w:r>
      <w:proofErr w:type="spellStart"/>
      <w:r w:rsidR="00EF091C">
        <w:t>DC_41_n41</w:t>
      </w:r>
      <w:proofErr w:type="spellEnd"/>
      <w:r w:rsidR="00202097">
        <w:t>.</w:t>
      </w:r>
    </w:p>
    <w:p w14:paraId="500A3013" w14:textId="77777777" w:rsidR="00EF091C" w:rsidRDefault="00EF091C" w:rsidP="00BE2917"/>
    <w:p w14:paraId="72B59950" w14:textId="6FF92F73" w:rsidR="00EF091C" w:rsidRPr="00EF091C" w:rsidRDefault="00EF091C" w:rsidP="00BE2917">
      <w:pPr>
        <w:rPr>
          <w:i/>
        </w:rPr>
      </w:pPr>
      <w:r w:rsidRPr="00EF091C">
        <w:rPr>
          <w:b/>
          <w:i/>
        </w:rPr>
        <w:t>Observation 2</w:t>
      </w:r>
      <w:r w:rsidRPr="00EF091C">
        <w:rPr>
          <w:i/>
        </w:rPr>
        <w:t>: Intra-band EN-DC power sharing with two-PA reference architecture would be the same as inter-band EN-DC power sharing.</w:t>
      </w:r>
    </w:p>
    <w:p w14:paraId="26DCE2B3" w14:textId="77777777" w:rsidR="002E6B5F" w:rsidRDefault="002E6B5F" w:rsidP="00BE2917"/>
    <w:p w14:paraId="0E3E60C1" w14:textId="77777777" w:rsidR="00EF091C" w:rsidRDefault="00EF091C" w:rsidP="00BE2917"/>
    <w:p w14:paraId="0FDFB597" w14:textId="163FBB38" w:rsidR="00E34FFE" w:rsidRDefault="002E6B5F" w:rsidP="00BE2917">
      <w:r>
        <w:t xml:space="preserve">Regarding intra-band </w:t>
      </w:r>
      <w:proofErr w:type="spellStart"/>
      <w:r>
        <w:t>EN</w:t>
      </w:r>
      <w:proofErr w:type="spellEnd"/>
      <w:r>
        <w:t xml:space="preserve">-DC power sharing with a single PA, </w:t>
      </w:r>
      <w:r w:rsidR="00E34FFE">
        <w:t xml:space="preserve">phase discontinuity also should be considered. By </w:t>
      </w:r>
      <w:r w:rsidR="00202097">
        <w:t xml:space="preserve">assuming the same numerology is always used for both LTE and NR, </w:t>
      </w:r>
      <w:r w:rsidR="00E34FFE">
        <w:t>the exact power sharing scheme for single PA based intra-band ENDC can be defined as following depending on the scenarios.</w:t>
      </w:r>
    </w:p>
    <w:p w14:paraId="797420EF" w14:textId="530B0777" w:rsidR="00202097" w:rsidRDefault="00E34FFE" w:rsidP="002634B5">
      <w:pPr>
        <w:pStyle w:val="ListParagraph"/>
        <w:numPr>
          <w:ilvl w:val="0"/>
          <w:numId w:val="4"/>
        </w:numPr>
      </w:pPr>
      <w:r>
        <w:t xml:space="preserve">If LTE and NR </w:t>
      </w:r>
      <w:r w:rsidRPr="00E34FFE">
        <w:t xml:space="preserve">overlapping transmissions </w:t>
      </w:r>
      <w:r>
        <w:t xml:space="preserve">are </w:t>
      </w:r>
      <w:r w:rsidRPr="00E34FFE">
        <w:t>with non-aligned starting or ending times or hop boundaries acro</w:t>
      </w:r>
      <w:r>
        <w:t>ss carriers, UE should have flexibility to drop NR regardless the status of PHR</w:t>
      </w:r>
    </w:p>
    <w:p w14:paraId="1605B92A" w14:textId="64D681E5" w:rsidR="00E34FFE" w:rsidRPr="00E34FFE" w:rsidRDefault="00E34FFE" w:rsidP="00E34FFE">
      <w:pPr>
        <w:pStyle w:val="ListParagraph"/>
        <w:numPr>
          <w:ilvl w:val="0"/>
          <w:numId w:val="4"/>
        </w:numPr>
      </w:pPr>
      <w:r>
        <w:t xml:space="preserve">If </w:t>
      </w:r>
      <w:r w:rsidRPr="00E34FFE">
        <w:t>LTE and NR overlap</w:t>
      </w:r>
      <w:r>
        <w:t xml:space="preserve">ping transmissions are with both </w:t>
      </w:r>
      <w:r w:rsidRPr="00E34FFE">
        <w:t>aligned startin</w:t>
      </w:r>
      <w:r>
        <w:t>g and ending times and there is no</w:t>
      </w:r>
      <w:r w:rsidRPr="00E34FFE">
        <w:t xml:space="preserve"> hop boundaries across carriers, </w:t>
      </w:r>
      <w:r>
        <w:t>inter-band power sharing mechanism can be reused.</w:t>
      </w:r>
    </w:p>
    <w:p w14:paraId="328FFBE9" w14:textId="77777777" w:rsidR="00202097" w:rsidRDefault="00202097" w:rsidP="00BE2917"/>
    <w:p w14:paraId="02F1AA53" w14:textId="3E616233" w:rsidR="002E6B5F" w:rsidRDefault="00EF091C" w:rsidP="00BE2917">
      <w:proofErr w:type="spellStart"/>
      <w:r>
        <w:t>RAN1</w:t>
      </w:r>
      <w:proofErr w:type="spellEnd"/>
      <w:r>
        <w:t xml:space="preserve"> agreed to introduce a UE capability for a phase discontinuity and we have a separate paper on this specific issue [2]</w:t>
      </w:r>
      <w:r w:rsidR="00684BDD">
        <w:t>.</w:t>
      </w:r>
    </w:p>
    <w:p w14:paraId="467E8987" w14:textId="77777777" w:rsidR="00EF091C" w:rsidRDefault="00EF091C" w:rsidP="00BE2917"/>
    <w:p w14:paraId="4DC608D4" w14:textId="77777777" w:rsidR="00E34FFE" w:rsidRDefault="00EF091C" w:rsidP="002634B5">
      <w:pPr>
        <w:ind w:left="60"/>
      </w:pPr>
      <w:r w:rsidRPr="002634B5">
        <w:rPr>
          <w:b/>
          <w:i/>
        </w:rPr>
        <w:t>Observation 3</w:t>
      </w:r>
      <w:r w:rsidRPr="002634B5">
        <w:rPr>
          <w:i/>
        </w:rPr>
        <w:t xml:space="preserve">: </w:t>
      </w:r>
    </w:p>
    <w:p w14:paraId="7AAD0560" w14:textId="77777777" w:rsidR="00E34FFE" w:rsidRDefault="00E34FFE" w:rsidP="00E34FFE">
      <w:pPr>
        <w:pStyle w:val="ListParagraph"/>
        <w:numPr>
          <w:ilvl w:val="0"/>
          <w:numId w:val="4"/>
        </w:numPr>
      </w:pPr>
      <w:r>
        <w:t xml:space="preserve">If LTE and NR </w:t>
      </w:r>
      <w:r w:rsidRPr="00E34FFE">
        <w:t xml:space="preserve">overlapping transmissions </w:t>
      </w:r>
      <w:r>
        <w:t xml:space="preserve">are </w:t>
      </w:r>
      <w:r w:rsidRPr="00E34FFE">
        <w:t>with non-aligned starting or ending times or hop boundaries acro</w:t>
      </w:r>
      <w:r>
        <w:t>ss carriers, UE should have flexibility to drop NR regardless the status of PHR</w:t>
      </w:r>
    </w:p>
    <w:p w14:paraId="5AB430EE" w14:textId="77777777" w:rsidR="00E34FFE" w:rsidRPr="00E34FFE" w:rsidRDefault="00E34FFE" w:rsidP="00E34FFE">
      <w:pPr>
        <w:pStyle w:val="ListParagraph"/>
        <w:numPr>
          <w:ilvl w:val="0"/>
          <w:numId w:val="4"/>
        </w:numPr>
      </w:pPr>
      <w:r>
        <w:t xml:space="preserve">If </w:t>
      </w:r>
      <w:r w:rsidRPr="00E34FFE">
        <w:t>LTE and NR overlap</w:t>
      </w:r>
      <w:r>
        <w:t xml:space="preserve">ping transmissions are with both </w:t>
      </w:r>
      <w:r w:rsidRPr="00E34FFE">
        <w:t>aligned startin</w:t>
      </w:r>
      <w:r>
        <w:t>g and ending times and there is no</w:t>
      </w:r>
      <w:r w:rsidRPr="00E34FFE">
        <w:t xml:space="preserve"> hop boundaries across carriers, </w:t>
      </w:r>
      <w:r>
        <w:t>inter-band power sharing mechanism can be reused.</w:t>
      </w:r>
    </w:p>
    <w:p w14:paraId="7F6EEC9D" w14:textId="390116F2" w:rsidR="00EF091C" w:rsidRPr="00EF091C" w:rsidRDefault="00EF091C" w:rsidP="00BE2917">
      <w:pPr>
        <w:rPr>
          <w:i/>
        </w:rPr>
      </w:pPr>
    </w:p>
    <w:p w14:paraId="6374D46F" w14:textId="77777777"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3</w:t>
      </w:r>
      <w:r w:rsidRPr="000B6B6E">
        <w:rPr>
          <w:rFonts w:ascii="Times New Roman" w:hAnsi="Times New Roman"/>
        </w:rPr>
        <w:tab/>
        <w:t>Conclusions</w:t>
      </w:r>
    </w:p>
    <w:p w14:paraId="7190B9C0" w14:textId="49E99D8B" w:rsidR="007F5A0A" w:rsidRDefault="00CA3EF0" w:rsidP="001E7C0B">
      <w:pPr>
        <w:rPr>
          <w:iCs/>
        </w:rPr>
      </w:pPr>
      <w:r>
        <w:rPr>
          <w:iCs/>
        </w:rPr>
        <w:t>In this paper, we made the following observations.</w:t>
      </w:r>
    </w:p>
    <w:p w14:paraId="18E5FB62" w14:textId="77777777" w:rsidR="00CA3EF0" w:rsidRDefault="00CA3EF0" w:rsidP="001E7C0B">
      <w:pPr>
        <w:rPr>
          <w:iCs/>
        </w:rPr>
      </w:pPr>
    </w:p>
    <w:p w14:paraId="18124BDA" w14:textId="77777777" w:rsidR="00CA3EF0" w:rsidRPr="00CA3EF0" w:rsidRDefault="00CA3EF0" w:rsidP="00CA3EF0">
      <w:pPr>
        <w:rPr>
          <w:i/>
        </w:rPr>
      </w:pPr>
      <w:r w:rsidRPr="00EF091C">
        <w:rPr>
          <w:b/>
          <w:i/>
        </w:rPr>
        <w:t>Observation 1</w:t>
      </w:r>
      <w:r w:rsidRPr="00EF091C">
        <w:rPr>
          <w:i/>
        </w:rPr>
        <w:t xml:space="preserve">: </w:t>
      </w:r>
      <w:r w:rsidRPr="00CA3EF0">
        <w:rPr>
          <w:i/>
        </w:rPr>
        <w:t>Dynamic power sharing is a capability of the baseband processor and nothing to do with RF front-end architecture.</w:t>
      </w:r>
    </w:p>
    <w:p w14:paraId="224DA727" w14:textId="77777777" w:rsidR="00CA3EF0" w:rsidRPr="001E7C0B" w:rsidRDefault="00CA3EF0" w:rsidP="001E7C0B">
      <w:pPr>
        <w:rPr>
          <w:iCs/>
        </w:rPr>
      </w:pPr>
    </w:p>
    <w:p w14:paraId="146B547C" w14:textId="77777777" w:rsidR="00CA3EF0" w:rsidRPr="00EF091C" w:rsidRDefault="00CA3EF0" w:rsidP="00CA3EF0">
      <w:pPr>
        <w:rPr>
          <w:i/>
        </w:rPr>
      </w:pPr>
      <w:r w:rsidRPr="00EF091C">
        <w:rPr>
          <w:b/>
          <w:i/>
        </w:rPr>
        <w:t>Observation 2</w:t>
      </w:r>
      <w:r w:rsidRPr="00EF091C">
        <w:rPr>
          <w:i/>
        </w:rPr>
        <w:t>: Intra-band EN-DC power sharing with two-PA reference architecture would be the same as inter-band EN-DC power sharing.</w:t>
      </w:r>
    </w:p>
    <w:p w14:paraId="50D5AE5D" w14:textId="77777777" w:rsidR="007F5A0A" w:rsidRDefault="007F5A0A" w:rsidP="00B3680C"/>
    <w:p w14:paraId="0174AB07" w14:textId="77777777" w:rsidR="00E34FFE" w:rsidRDefault="00E34FFE" w:rsidP="002634B5">
      <w:r w:rsidRPr="008618DD">
        <w:rPr>
          <w:b/>
          <w:i/>
        </w:rPr>
        <w:t>Observation 3</w:t>
      </w:r>
      <w:r w:rsidRPr="008618DD">
        <w:rPr>
          <w:i/>
        </w:rPr>
        <w:t xml:space="preserve">: </w:t>
      </w:r>
    </w:p>
    <w:p w14:paraId="73D1E9CE" w14:textId="77777777" w:rsidR="00E34FFE" w:rsidRDefault="00E34FFE" w:rsidP="00E34FFE">
      <w:pPr>
        <w:pStyle w:val="ListParagraph"/>
        <w:numPr>
          <w:ilvl w:val="0"/>
          <w:numId w:val="4"/>
        </w:numPr>
      </w:pPr>
      <w:r>
        <w:t xml:space="preserve">If LTE and NR </w:t>
      </w:r>
      <w:r w:rsidRPr="00E34FFE">
        <w:t xml:space="preserve">overlapping transmissions </w:t>
      </w:r>
      <w:r>
        <w:t xml:space="preserve">are </w:t>
      </w:r>
      <w:r w:rsidRPr="00E34FFE">
        <w:t>with non-aligned starting or ending times or hop boundaries acro</w:t>
      </w:r>
      <w:r>
        <w:t>ss carriers, UE should have flexibility to drop NR regardless the status of PHR</w:t>
      </w:r>
    </w:p>
    <w:p w14:paraId="570381DE" w14:textId="77777777" w:rsidR="00E34FFE" w:rsidRPr="00E34FFE" w:rsidRDefault="00E34FFE" w:rsidP="00E34FFE">
      <w:pPr>
        <w:pStyle w:val="ListParagraph"/>
        <w:numPr>
          <w:ilvl w:val="0"/>
          <w:numId w:val="4"/>
        </w:numPr>
      </w:pPr>
      <w:r>
        <w:t xml:space="preserve">If </w:t>
      </w:r>
      <w:r w:rsidRPr="00E34FFE">
        <w:t>LTE and NR overlap</w:t>
      </w:r>
      <w:r>
        <w:t xml:space="preserve">ping transmissions are with both </w:t>
      </w:r>
      <w:r w:rsidRPr="00E34FFE">
        <w:t>aligned startin</w:t>
      </w:r>
      <w:r>
        <w:t>g and ending times and there is no</w:t>
      </w:r>
      <w:r w:rsidRPr="00E34FFE">
        <w:t xml:space="preserve"> hop boundaries across carriers, </w:t>
      </w:r>
      <w:r>
        <w:t>inter-band power sharing mechanism can be reused.</w:t>
      </w:r>
    </w:p>
    <w:p w14:paraId="0E1D63D6" w14:textId="77777777" w:rsidR="00CA3EF0" w:rsidRPr="000B6B6E" w:rsidRDefault="00CA3EF0" w:rsidP="00B3680C"/>
    <w:p w14:paraId="01A3027A" w14:textId="77777777"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4</w:t>
      </w:r>
      <w:r w:rsidRPr="000B6B6E">
        <w:rPr>
          <w:rFonts w:ascii="Times New Roman" w:hAnsi="Times New Roman"/>
        </w:rPr>
        <w:tab/>
        <w:t>Reference</w:t>
      </w:r>
    </w:p>
    <w:p w14:paraId="2AADCE17" w14:textId="4B6A29B5" w:rsidR="00C23B4B" w:rsidRDefault="009E10B5" w:rsidP="001E7C0B">
      <w:r>
        <w:t>[1]</w:t>
      </w:r>
      <w:r w:rsidR="007F5A0A">
        <w:t xml:space="preserve"> </w:t>
      </w:r>
      <w:r w:rsidR="009D13C7" w:rsidRPr="009D13C7">
        <w:t>R4-1811797</w:t>
      </w:r>
      <w:r w:rsidR="002F5044">
        <w:t>, “</w:t>
      </w:r>
      <w:r w:rsidR="009D13C7" w:rsidRPr="009D13C7">
        <w:t>WF on Intra-Band EN-DC Power Back-off Design</w:t>
      </w:r>
      <w:r w:rsidR="002F5044">
        <w:t xml:space="preserve">”, </w:t>
      </w:r>
      <w:r w:rsidR="009D13C7">
        <w:t>MediaTek</w:t>
      </w:r>
      <w:r w:rsidR="002F5044">
        <w:t>, Gothenburg, August 2018</w:t>
      </w:r>
    </w:p>
    <w:p w14:paraId="00273C8F" w14:textId="3DD36C28" w:rsidR="003C546D" w:rsidRPr="00EF091C" w:rsidRDefault="00EF091C" w:rsidP="00EF091C">
      <w:r>
        <w:t xml:space="preserve">[2] </w:t>
      </w:r>
      <w:r w:rsidRPr="00EF091C">
        <w:t>R1-1809992, “LS on NR-LTE Co-existence”, Intel, LG, Gothenburg, August 2018</w:t>
      </w:r>
    </w:p>
    <w:sectPr w:rsidR="003C546D" w:rsidRPr="00EF091C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45C3F"/>
    <w:multiLevelType w:val="hybridMultilevel"/>
    <w:tmpl w:val="105ABA44"/>
    <w:lvl w:ilvl="0" w:tplc="5802BC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26D0A"/>
    <w:multiLevelType w:val="hybridMultilevel"/>
    <w:tmpl w:val="EAD8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01255"/>
    <w:multiLevelType w:val="hybridMultilevel"/>
    <w:tmpl w:val="0E0C29B8"/>
    <w:lvl w:ilvl="0" w:tplc="EB2A4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F2B750">
      <w:start w:val="2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42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44C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A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C2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F28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2C3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4D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FFA3372"/>
    <w:multiLevelType w:val="hybridMultilevel"/>
    <w:tmpl w:val="CCA0C0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10570"/>
    <w:rsid w:val="0001306A"/>
    <w:rsid w:val="00035D98"/>
    <w:rsid w:val="00041270"/>
    <w:rsid w:val="000443BE"/>
    <w:rsid w:val="00066DAD"/>
    <w:rsid w:val="000701C5"/>
    <w:rsid w:val="00085015"/>
    <w:rsid w:val="00094E23"/>
    <w:rsid w:val="000A51BA"/>
    <w:rsid w:val="000B6B6E"/>
    <w:rsid w:val="000D02AE"/>
    <w:rsid w:val="000D58F2"/>
    <w:rsid w:val="000D5FFF"/>
    <w:rsid w:val="000D7B9A"/>
    <w:rsid w:val="000E151A"/>
    <w:rsid w:val="000E59B8"/>
    <w:rsid w:val="000F5A0D"/>
    <w:rsid w:val="000F7E79"/>
    <w:rsid w:val="00100FC8"/>
    <w:rsid w:val="00101722"/>
    <w:rsid w:val="001168D0"/>
    <w:rsid w:val="00122B4B"/>
    <w:rsid w:val="00123505"/>
    <w:rsid w:val="00146FDD"/>
    <w:rsid w:val="001555D3"/>
    <w:rsid w:val="001710F7"/>
    <w:rsid w:val="00173C94"/>
    <w:rsid w:val="00176944"/>
    <w:rsid w:val="00177830"/>
    <w:rsid w:val="00190B4F"/>
    <w:rsid w:val="001A0458"/>
    <w:rsid w:val="001A1883"/>
    <w:rsid w:val="001A3431"/>
    <w:rsid w:val="001A7549"/>
    <w:rsid w:val="001A76F5"/>
    <w:rsid w:val="001B5E63"/>
    <w:rsid w:val="001B7587"/>
    <w:rsid w:val="001C0601"/>
    <w:rsid w:val="001C33F9"/>
    <w:rsid w:val="001C70A8"/>
    <w:rsid w:val="001D0559"/>
    <w:rsid w:val="001D058E"/>
    <w:rsid w:val="001E04A3"/>
    <w:rsid w:val="001E0972"/>
    <w:rsid w:val="001E3AEF"/>
    <w:rsid w:val="001E7C0B"/>
    <w:rsid w:val="001F29E3"/>
    <w:rsid w:val="00201BDC"/>
    <w:rsid w:val="00201DB4"/>
    <w:rsid w:val="00202097"/>
    <w:rsid w:val="0020506B"/>
    <w:rsid w:val="00206BD7"/>
    <w:rsid w:val="002208A0"/>
    <w:rsid w:val="00222486"/>
    <w:rsid w:val="00223B71"/>
    <w:rsid w:val="0022679C"/>
    <w:rsid w:val="00227D51"/>
    <w:rsid w:val="00227DCD"/>
    <w:rsid w:val="00232067"/>
    <w:rsid w:val="0023393B"/>
    <w:rsid w:val="002415E5"/>
    <w:rsid w:val="00242BCE"/>
    <w:rsid w:val="00242C40"/>
    <w:rsid w:val="002430C5"/>
    <w:rsid w:val="0025151E"/>
    <w:rsid w:val="002634B5"/>
    <w:rsid w:val="0026735E"/>
    <w:rsid w:val="00276887"/>
    <w:rsid w:val="002824E1"/>
    <w:rsid w:val="00282CD0"/>
    <w:rsid w:val="00284F09"/>
    <w:rsid w:val="00285D3E"/>
    <w:rsid w:val="0029077E"/>
    <w:rsid w:val="002917BE"/>
    <w:rsid w:val="00293C3B"/>
    <w:rsid w:val="002A11B2"/>
    <w:rsid w:val="002A15D3"/>
    <w:rsid w:val="002A1C61"/>
    <w:rsid w:val="002B1D9D"/>
    <w:rsid w:val="002B474C"/>
    <w:rsid w:val="002C0890"/>
    <w:rsid w:val="002C1A1D"/>
    <w:rsid w:val="002D176E"/>
    <w:rsid w:val="002D4376"/>
    <w:rsid w:val="002E4F90"/>
    <w:rsid w:val="002E6B5F"/>
    <w:rsid w:val="002F5044"/>
    <w:rsid w:val="003100D8"/>
    <w:rsid w:val="00315301"/>
    <w:rsid w:val="00315E6D"/>
    <w:rsid w:val="00316B66"/>
    <w:rsid w:val="003240A0"/>
    <w:rsid w:val="00331317"/>
    <w:rsid w:val="00333545"/>
    <w:rsid w:val="00343321"/>
    <w:rsid w:val="0034530C"/>
    <w:rsid w:val="00345DFE"/>
    <w:rsid w:val="00352C8C"/>
    <w:rsid w:val="00370B27"/>
    <w:rsid w:val="0037525F"/>
    <w:rsid w:val="00376BB9"/>
    <w:rsid w:val="003852CE"/>
    <w:rsid w:val="00386CBF"/>
    <w:rsid w:val="0039616A"/>
    <w:rsid w:val="003C546D"/>
    <w:rsid w:val="003C5DA2"/>
    <w:rsid w:val="003C6723"/>
    <w:rsid w:val="003D0655"/>
    <w:rsid w:val="003D2C71"/>
    <w:rsid w:val="003D3AE7"/>
    <w:rsid w:val="003D4FAF"/>
    <w:rsid w:val="003E5457"/>
    <w:rsid w:val="003F5343"/>
    <w:rsid w:val="00400ABE"/>
    <w:rsid w:val="00401193"/>
    <w:rsid w:val="004011F4"/>
    <w:rsid w:val="00403D9C"/>
    <w:rsid w:val="00404B7B"/>
    <w:rsid w:val="00405096"/>
    <w:rsid w:val="00417A68"/>
    <w:rsid w:val="0042128F"/>
    <w:rsid w:val="00423803"/>
    <w:rsid w:val="004238D6"/>
    <w:rsid w:val="004256EB"/>
    <w:rsid w:val="00425AC4"/>
    <w:rsid w:val="004412E2"/>
    <w:rsid w:val="00446543"/>
    <w:rsid w:val="004502E5"/>
    <w:rsid w:val="00455FAF"/>
    <w:rsid w:val="004621BB"/>
    <w:rsid w:val="0046382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B513A"/>
    <w:rsid w:val="004C0D58"/>
    <w:rsid w:val="004C130C"/>
    <w:rsid w:val="004C27C3"/>
    <w:rsid w:val="004C579F"/>
    <w:rsid w:val="004C7385"/>
    <w:rsid w:val="004C7749"/>
    <w:rsid w:val="004D1E25"/>
    <w:rsid w:val="004D26C4"/>
    <w:rsid w:val="004D3AEA"/>
    <w:rsid w:val="004E3BDA"/>
    <w:rsid w:val="004E3E79"/>
    <w:rsid w:val="004E4E4B"/>
    <w:rsid w:val="004E66F6"/>
    <w:rsid w:val="004F0A49"/>
    <w:rsid w:val="004F20D8"/>
    <w:rsid w:val="004F389D"/>
    <w:rsid w:val="00512C21"/>
    <w:rsid w:val="00512FAC"/>
    <w:rsid w:val="00514603"/>
    <w:rsid w:val="00514882"/>
    <w:rsid w:val="0052371F"/>
    <w:rsid w:val="00530FF9"/>
    <w:rsid w:val="005314B7"/>
    <w:rsid w:val="005365DD"/>
    <w:rsid w:val="00545068"/>
    <w:rsid w:val="00552A60"/>
    <w:rsid w:val="00553F0F"/>
    <w:rsid w:val="00554AC6"/>
    <w:rsid w:val="0055662B"/>
    <w:rsid w:val="00560AE5"/>
    <w:rsid w:val="00563F02"/>
    <w:rsid w:val="00577966"/>
    <w:rsid w:val="00580557"/>
    <w:rsid w:val="00582A2B"/>
    <w:rsid w:val="005841C5"/>
    <w:rsid w:val="00590C9D"/>
    <w:rsid w:val="005937CD"/>
    <w:rsid w:val="00594BD5"/>
    <w:rsid w:val="005A2C8D"/>
    <w:rsid w:val="005A30F1"/>
    <w:rsid w:val="005A5BE0"/>
    <w:rsid w:val="005A5E04"/>
    <w:rsid w:val="005A65AC"/>
    <w:rsid w:val="005C1FEF"/>
    <w:rsid w:val="005E1F80"/>
    <w:rsid w:val="005E4222"/>
    <w:rsid w:val="005E4A6F"/>
    <w:rsid w:val="005E5EB1"/>
    <w:rsid w:val="005E6416"/>
    <w:rsid w:val="0060001E"/>
    <w:rsid w:val="006039FC"/>
    <w:rsid w:val="00604AC7"/>
    <w:rsid w:val="00611036"/>
    <w:rsid w:val="00612655"/>
    <w:rsid w:val="00617848"/>
    <w:rsid w:val="00625B52"/>
    <w:rsid w:val="00625CA5"/>
    <w:rsid w:val="006263F6"/>
    <w:rsid w:val="00626E7D"/>
    <w:rsid w:val="00635188"/>
    <w:rsid w:val="00645CB5"/>
    <w:rsid w:val="00646ED3"/>
    <w:rsid w:val="006528B7"/>
    <w:rsid w:val="006541A2"/>
    <w:rsid w:val="00656A05"/>
    <w:rsid w:val="006573B0"/>
    <w:rsid w:val="00666676"/>
    <w:rsid w:val="00674B0A"/>
    <w:rsid w:val="00674D9D"/>
    <w:rsid w:val="00684BDD"/>
    <w:rsid w:val="0069074C"/>
    <w:rsid w:val="006970F7"/>
    <w:rsid w:val="006A7061"/>
    <w:rsid w:val="006B26F8"/>
    <w:rsid w:val="006B5C5E"/>
    <w:rsid w:val="006B7A4A"/>
    <w:rsid w:val="006C1E7B"/>
    <w:rsid w:val="006D1CB1"/>
    <w:rsid w:val="006D33A2"/>
    <w:rsid w:val="006D5790"/>
    <w:rsid w:val="006D6958"/>
    <w:rsid w:val="006E63BE"/>
    <w:rsid w:val="0070192F"/>
    <w:rsid w:val="0070300E"/>
    <w:rsid w:val="00707377"/>
    <w:rsid w:val="00713A5F"/>
    <w:rsid w:val="007207C4"/>
    <w:rsid w:val="0072109A"/>
    <w:rsid w:val="00721191"/>
    <w:rsid w:val="007257FD"/>
    <w:rsid w:val="007274B8"/>
    <w:rsid w:val="007276ED"/>
    <w:rsid w:val="0073255E"/>
    <w:rsid w:val="0073456A"/>
    <w:rsid w:val="0074063D"/>
    <w:rsid w:val="007520C5"/>
    <w:rsid w:val="007525E2"/>
    <w:rsid w:val="0076402E"/>
    <w:rsid w:val="007761DB"/>
    <w:rsid w:val="00782C6E"/>
    <w:rsid w:val="007852B9"/>
    <w:rsid w:val="007940AF"/>
    <w:rsid w:val="0079578A"/>
    <w:rsid w:val="007A5B1E"/>
    <w:rsid w:val="007A6715"/>
    <w:rsid w:val="007B0211"/>
    <w:rsid w:val="007B2414"/>
    <w:rsid w:val="007C0472"/>
    <w:rsid w:val="007C2563"/>
    <w:rsid w:val="007C623B"/>
    <w:rsid w:val="007D21B2"/>
    <w:rsid w:val="007D4DCD"/>
    <w:rsid w:val="007D5539"/>
    <w:rsid w:val="007D609F"/>
    <w:rsid w:val="007D74F6"/>
    <w:rsid w:val="007F1258"/>
    <w:rsid w:val="007F3012"/>
    <w:rsid w:val="007F3CE4"/>
    <w:rsid w:val="007F5A0A"/>
    <w:rsid w:val="00800FE3"/>
    <w:rsid w:val="00804089"/>
    <w:rsid w:val="00806C7F"/>
    <w:rsid w:val="00807765"/>
    <w:rsid w:val="00842F21"/>
    <w:rsid w:val="00850734"/>
    <w:rsid w:val="00856B32"/>
    <w:rsid w:val="00857554"/>
    <w:rsid w:val="00866607"/>
    <w:rsid w:val="00873F05"/>
    <w:rsid w:val="008751C9"/>
    <w:rsid w:val="0087684A"/>
    <w:rsid w:val="00884351"/>
    <w:rsid w:val="00886FA5"/>
    <w:rsid w:val="00891541"/>
    <w:rsid w:val="00893FEE"/>
    <w:rsid w:val="00895CBB"/>
    <w:rsid w:val="008A2773"/>
    <w:rsid w:val="008A356D"/>
    <w:rsid w:val="008A50FB"/>
    <w:rsid w:val="008A6278"/>
    <w:rsid w:val="008B21C7"/>
    <w:rsid w:val="008B312D"/>
    <w:rsid w:val="008D26B0"/>
    <w:rsid w:val="008E02C9"/>
    <w:rsid w:val="008F2C6A"/>
    <w:rsid w:val="008F69D8"/>
    <w:rsid w:val="0090284F"/>
    <w:rsid w:val="009032D8"/>
    <w:rsid w:val="009079A5"/>
    <w:rsid w:val="00910122"/>
    <w:rsid w:val="00912522"/>
    <w:rsid w:val="00913970"/>
    <w:rsid w:val="00915F9A"/>
    <w:rsid w:val="00927623"/>
    <w:rsid w:val="00930C4F"/>
    <w:rsid w:val="00932AA3"/>
    <w:rsid w:val="00932EED"/>
    <w:rsid w:val="00936AFB"/>
    <w:rsid w:val="00940165"/>
    <w:rsid w:val="009411FF"/>
    <w:rsid w:val="009422B9"/>
    <w:rsid w:val="009454AD"/>
    <w:rsid w:val="0094602B"/>
    <w:rsid w:val="009517ED"/>
    <w:rsid w:val="00964710"/>
    <w:rsid w:val="0096616D"/>
    <w:rsid w:val="00981569"/>
    <w:rsid w:val="00983411"/>
    <w:rsid w:val="0098559A"/>
    <w:rsid w:val="00986078"/>
    <w:rsid w:val="00991396"/>
    <w:rsid w:val="00993638"/>
    <w:rsid w:val="009949A3"/>
    <w:rsid w:val="009B3024"/>
    <w:rsid w:val="009B6892"/>
    <w:rsid w:val="009C076D"/>
    <w:rsid w:val="009C34E1"/>
    <w:rsid w:val="009C72D3"/>
    <w:rsid w:val="009D13C7"/>
    <w:rsid w:val="009D6C52"/>
    <w:rsid w:val="009E10B5"/>
    <w:rsid w:val="009F1FC5"/>
    <w:rsid w:val="009F5140"/>
    <w:rsid w:val="009F6A53"/>
    <w:rsid w:val="00A015C8"/>
    <w:rsid w:val="00A01E84"/>
    <w:rsid w:val="00A06A27"/>
    <w:rsid w:val="00A1428C"/>
    <w:rsid w:val="00A14D5A"/>
    <w:rsid w:val="00A210A3"/>
    <w:rsid w:val="00A272BF"/>
    <w:rsid w:val="00A32281"/>
    <w:rsid w:val="00A34243"/>
    <w:rsid w:val="00A473BE"/>
    <w:rsid w:val="00A50182"/>
    <w:rsid w:val="00A50722"/>
    <w:rsid w:val="00A5459E"/>
    <w:rsid w:val="00A54FD7"/>
    <w:rsid w:val="00A7120E"/>
    <w:rsid w:val="00A72897"/>
    <w:rsid w:val="00A73FFB"/>
    <w:rsid w:val="00A74557"/>
    <w:rsid w:val="00A7778D"/>
    <w:rsid w:val="00A80119"/>
    <w:rsid w:val="00A82A9E"/>
    <w:rsid w:val="00A865B3"/>
    <w:rsid w:val="00A909E2"/>
    <w:rsid w:val="00A92A5E"/>
    <w:rsid w:val="00AA36AE"/>
    <w:rsid w:val="00AB3A55"/>
    <w:rsid w:val="00AC02FD"/>
    <w:rsid w:val="00AC6C3C"/>
    <w:rsid w:val="00AD7789"/>
    <w:rsid w:val="00AE6FAA"/>
    <w:rsid w:val="00AF164E"/>
    <w:rsid w:val="00AF386E"/>
    <w:rsid w:val="00AF3DDE"/>
    <w:rsid w:val="00AF7EA3"/>
    <w:rsid w:val="00B007F8"/>
    <w:rsid w:val="00B03682"/>
    <w:rsid w:val="00B04411"/>
    <w:rsid w:val="00B074E2"/>
    <w:rsid w:val="00B142EF"/>
    <w:rsid w:val="00B14FC5"/>
    <w:rsid w:val="00B15857"/>
    <w:rsid w:val="00B20C22"/>
    <w:rsid w:val="00B2265C"/>
    <w:rsid w:val="00B24D8B"/>
    <w:rsid w:val="00B2564A"/>
    <w:rsid w:val="00B3483E"/>
    <w:rsid w:val="00B3680C"/>
    <w:rsid w:val="00B3710E"/>
    <w:rsid w:val="00B40A00"/>
    <w:rsid w:val="00B430A7"/>
    <w:rsid w:val="00B467EE"/>
    <w:rsid w:val="00B50B90"/>
    <w:rsid w:val="00B5544D"/>
    <w:rsid w:val="00B57868"/>
    <w:rsid w:val="00B60F45"/>
    <w:rsid w:val="00B70582"/>
    <w:rsid w:val="00B74728"/>
    <w:rsid w:val="00B75158"/>
    <w:rsid w:val="00B822BB"/>
    <w:rsid w:val="00B860BF"/>
    <w:rsid w:val="00B91027"/>
    <w:rsid w:val="00BA2CE4"/>
    <w:rsid w:val="00BA6EAA"/>
    <w:rsid w:val="00BB7E56"/>
    <w:rsid w:val="00BC01D4"/>
    <w:rsid w:val="00BC1581"/>
    <w:rsid w:val="00BC2768"/>
    <w:rsid w:val="00BC614F"/>
    <w:rsid w:val="00BD0F58"/>
    <w:rsid w:val="00BD3598"/>
    <w:rsid w:val="00BD4FF4"/>
    <w:rsid w:val="00BD5569"/>
    <w:rsid w:val="00BE23F0"/>
    <w:rsid w:val="00BE2917"/>
    <w:rsid w:val="00BE6130"/>
    <w:rsid w:val="00BF439B"/>
    <w:rsid w:val="00BF4D25"/>
    <w:rsid w:val="00BF65A2"/>
    <w:rsid w:val="00C012F9"/>
    <w:rsid w:val="00C02913"/>
    <w:rsid w:val="00C235A1"/>
    <w:rsid w:val="00C23B4B"/>
    <w:rsid w:val="00C315BC"/>
    <w:rsid w:val="00C32897"/>
    <w:rsid w:val="00C52258"/>
    <w:rsid w:val="00C52EC8"/>
    <w:rsid w:val="00C5303A"/>
    <w:rsid w:val="00C616F8"/>
    <w:rsid w:val="00C633DF"/>
    <w:rsid w:val="00C63A44"/>
    <w:rsid w:val="00C67686"/>
    <w:rsid w:val="00C67AB5"/>
    <w:rsid w:val="00C72E18"/>
    <w:rsid w:val="00C76A39"/>
    <w:rsid w:val="00C84ABA"/>
    <w:rsid w:val="00C91708"/>
    <w:rsid w:val="00CA3EF0"/>
    <w:rsid w:val="00CB178B"/>
    <w:rsid w:val="00CB3D00"/>
    <w:rsid w:val="00CB636E"/>
    <w:rsid w:val="00CC53EA"/>
    <w:rsid w:val="00CD141B"/>
    <w:rsid w:val="00CD246B"/>
    <w:rsid w:val="00CE01D3"/>
    <w:rsid w:val="00CE2A25"/>
    <w:rsid w:val="00CE586F"/>
    <w:rsid w:val="00CE6893"/>
    <w:rsid w:val="00CF228A"/>
    <w:rsid w:val="00CF4B53"/>
    <w:rsid w:val="00D07B5F"/>
    <w:rsid w:val="00D10541"/>
    <w:rsid w:val="00D134AC"/>
    <w:rsid w:val="00D20573"/>
    <w:rsid w:val="00D25DD5"/>
    <w:rsid w:val="00D268EB"/>
    <w:rsid w:val="00D30C01"/>
    <w:rsid w:val="00D34A9B"/>
    <w:rsid w:val="00D372DA"/>
    <w:rsid w:val="00D51208"/>
    <w:rsid w:val="00D524DE"/>
    <w:rsid w:val="00D5392F"/>
    <w:rsid w:val="00D6110B"/>
    <w:rsid w:val="00D63891"/>
    <w:rsid w:val="00D8255D"/>
    <w:rsid w:val="00D8263D"/>
    <w:rsid w:val="00D9068D"/>
    <w:rsid w:val="00DA26D6"/>
    <w:rsid w:val="00DA5989"/>
    <w:rsid w:val="00DB4156"/>
    <w:rsid w:val="00DC07AE"/>
    <w:rsid w:val="00DC6257"/>
    <w:rsid w:val="00DC657B"/>
    <w:rsid w:val="00DC6FC6"/>
    <w:rsid w:val="00DD2F7A"/>
    <w:rsid w:val="00DD4D2A"/>
    <w:rsid w:val="00DE495F"/>
    <w:rsid w:val="00DF05CC"/>
    <w:rsid w:val="00E00547"/>
    <w:rsid w:val="00E13677"/>
    <w:rsid w:val="00E16374"/>
    <w:rsid w:val="00E266DA"/>
    <w:rsid w:val="00E3179A"/>
    <w:rsid w:val="00E31CAF"/>
    <w:rsid w:val="00E32002"/>
    <w:rsid w:val="00E34FFE"/>
    <w:rsid w:val="00E359BF"/>
    <w:rsid w:val="00E437B4"/>
    <w:rsid w:val="00E43ABF"/>
    <w:rsid w:val="00E468B8"/>
    <w:rsid w:val="00E46BA1"/>
    <w:rsid w:val="00E47255"/>
    <w:rsid w:val="00E47F98"/>
    <w:rsid w:val="00E53CAC"/>
    <w:rsid w:val="00E55A34"/>
    <w:rsid w:val="00E608F8"/>
    <w:rsid w:val="00E65E3F"/>
    <w:rsid w:val="00E70408"/>
    <w:rsid w:val="00E77343"/>
    <w:rsid w:val="00E85221"/>
    <w:rsid w:val="00E93F2B"/>
    <w:rsid w:val="00EA79F5"/>
    <w:rsid w:val="00EB089B"/>
    <w:rsid w:val="00EB5ECE"/>
    <w:rsid w:val="00EB7A2C"/>
    <w:rsid w:val="00EC0E48"/>
    <w:rsid w:val="00ED4AD9"/>
    <w:rsid w:val="00ED53ED"/>
    <w:rsid w:val="00ED6395"/>
    <w:rsid w:val="00ED6E80"/>
    <w:rsid w:val="00ED78CD"/>
    <w:rsid w:val="00EE1363"/>
    <w:rsid w:val="00EE333A"/>
    <w:rsid w:val="00EF091C"/>
    <w:rsid w:val="00EF2EBC"/>
    <w:rsid w:val="00EF7908"/>
    <w:rsid w:val="00F047B1"/>
    <w:rsid w:val="00F134E2"/>
    <w:rsid w:val="00F15E1B"/>
    <w:rsid w:val="00F24F9E"/>
    <w:rsid w:val="00F34842"/>
    <w:rsid w:val="00F466F7"/>
    <w:rsid w:val="00F46C34"/>
    <w:rsid w:val="00F55C0D"/>
    <w:rsid w:val="00F55CB4"/>
    <w:rsid w:val="00F6372E"/>
    <w:rsid w:val="00F7158F"/>
    <w:rsid w:val="00F72FF6"/>
    <w:rsid w:val="00F75AB5"/>
    <w:rsid w:val="00F8056C"/>
    <w:rsid w:val="00F83C8A"/>
    <w:rsid w:val="00F9388C"/>
    <w:rsid w:val="00FA0671"/>
    <w:rsid w:val="00FA1C35"/>
    <w:rsid w:val="00FA20A2"/>
    <w:rsid w:val="00FA370A"/>
    <w:rsid w:val="00FB03B0"/>
    <w:rsid w:val="00FC72A0"/>
    <w:rsid w:val="00FD3136"/>
    <w:rsid w:val="00FE5BAF"/>
    <w:rsid w:val="00FF01FB"/>
    <w:rsid w:val="00FF503E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7DD0E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79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79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0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067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n-GB" w:eastAsia="en-US"/>
    </w:rPr>
  </w:style>
  <w:style w:type="paragraph" w:customStyle="1" w:styleId="EditorsNote">
    <w:name w:val="Editor's Note"/>
    <w:aliases w:val="EN"/>
    <w:basedOn w:val="Normal"/>
    <w:rsid w:val="00232067"/>
    <w:pPr>
      <w:keepLines/>
      <w:spacing w:after="180"/>
      <w:ind w:left="1135" w:hanging="851"/>
    </w:pPr>
    <w:rPr>
      <w:rFonts w:eastAsia="Times New Roman"/>
      <w:color w:val="FF0000"/>
      <w:sz w:val="20"/>
      <w:szCs w:val="20"/>
    </w:rPr>
  </w:style>
  <w:style w:type="paragraph" w:customStyle="1" w:styleId="TF">
    <w:name w:val="TF"/>
    <w:basedOn w:val="Normal"/>
    <w:link w:val="TFChar"/>
    <w:rsid w:val="00232067"/>
    <w:pPr>
      <w:keepLines/>
      <w:spacing w:after="240"/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TFChar">
    <w:name w:val="TF Char"/>
    <w:basedOn w:val="DefaultParagraphFont"/>
    <w:link w:val="TF"/>
    <w:rsid w:val="0023206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790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790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B0368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E13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3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1363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3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363"/>
    <w:rPr>
      <w:rFonts w:ascii="Times New Roman" w:eastAsia="MS Mincho" w:hAnsi="Times New Roman" w:cs="Times New Roman"/>
      <w:b/>
      <w:bCs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3C546D"/>
    <w:rPr>
      <w:b/>
    </w:rPr>
  </w:style>
  <w:style w:type="paragraph" w:customStyle="1" w:styleId="TAC">
    <w:name w:val="TAC"/>
    <w:basedOn w:val="Normal"/>
    <w:link w:val="TACChar"/>
    <w:rsid w:val="003C546D"/>
    <w:pPr>
      <w:keepNext/>
      <w:keepLines/>
      <w:jc w:val="center"/>
    </w:pPr>
    <w:rPr>
      <w:rFonts w:ascii="Arial" w:eastAsia="SimSun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rsid w:val="003C546D"/>
    <w:rPr>
      <w:rFonts w:ascii="Arial" w:eastAsia="SimSu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3C546D"/>
    <w:rPr>
      <w:rFonts w:ascii="Arial" w:eastAsia="SimSun" w:hAnsi="Arial" w:cs="Times New Roman"/>
      <w:b/>
      <w:sz w:val="18"/>
      <w:szCs w:val="20"/>
      <w:lang w:val="en-GB" w:eastAsia="x-none"/>
    </w:rPr>
  </w:style>
  <w:style w:type="paragraph" w:styleId="Header">
    <w:name w:val="header"/>
    <w:basedOn w:val="Normal"/>
    <w:link w:val="HeaderChar"/>
    <w:semiHidden/>
    <w:rsid w:val="000E59B8"/>
    <w:pPr>
      <w:tabs>
        <w:tab w:val="center" w:pos="4153"/>
        <w:tab w:val="right" w:pos="8306"/>
      </w:tabs>
    </w:pPr>
    <w:rPr>
      <w:rFonts w:eastAsia="SimSu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0E59B8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locked/>
    <w:rsid w:val="0046382B"/>
    <w:rPr>
      <w:rFonts w:ascii="Arial" w:hAnsi="Arial"/>
      <w:sz w:val="18"/>
    </w:rPr>
  </w:style>
  <w:style w:type="paragraph" w:customStyle="1" w:styleId="TAL">
    <w:name w:val="TAL"/>
    <w:basedOn w:val="Normal"/>
    <w:link w:val="TALCar"/>
    <w:rsid w:val="0046382B"/>
    <w:pPr>
      <w:keepNext/>
      <w:keepLines/>
      <w:spacing w:line="256" w:lineRule="auto"/>
    </w:pPr>
    <w:rPr>
      <w:rFonts w:ascii="Arial" w:eastAsiaTheme="minorEastAsia" w:hAnsi="Arial" w:cstheme="minorBidi"/>
      <w:sz w:val="18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6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7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9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60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39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7922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9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9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1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9BF7D-CA67-45EC-BD92-5EEB641B5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659</Words>
  <Characters>3581</Characters>
  <Application>Microsoft Office Word</Application>
  <DocSecurity>0</DocSecurity>
  <Lines>81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>CTPClassification=CTP_NT</cp:keywords>
  <dc:description/>
  <cp:lastModifiedBy>Kim, Jiwoo</cp:lastModifiedBy>
  <cp:revision>3</cp:revision>
  <dcterms:created xsi:type="dcterms:W3CDTF">2018-09-28T21:40:00Z</dcterms:created>
  <dcterms:modified xsi:type="dcterms:W3CDTF">2018-09-28T21:41:00Z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358cbdef-a898-418d-a6e8-f9dd7bffdd4b</vt:lpwstr>
  </property>
  <property fmtid="{D5CDD505-2E9C-101B-9397-08002B2CF9AE}" pid="3" name="CTP_TimeStamp">
    <vt:lpwstr>2018-09-28 21:41:43Z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